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Kierownik Jednostki Samorządu Terytorialnego (dalej JST) - w rozumieniu art. 33 ust. 3 Ustawy z dnia 8 marca 1990 r. o samorządzie gminnym (tj. Dz. U. z 2022 r. poz. 559 , 583)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2019 r. poz. 162, 1590)  oraz przepisów art. 4 ust. 5 Ustawy o petycjach ( tj. Dz.U. 2018 poz. 870) 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Data dostarczenia  zgodna z dyspozycją art. 61 pkt. 2 Ustawy Kodeks Cywilny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1740)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256, 695)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Preambuła Wniosku/Petycji*: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W ogólnym zakresie nakazują to również przepisy Konstytucji RP.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Gdzie jak wiadomo powszechnie, w polskim  systemie prawnym szczególną i niekwestionowaną rolę odgrywa art. - art. 68 ust 1 i ust 4 Konstytucji RP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„ (…)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1. Każdy ma prawo do ochrony zdrowia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4. „Władze publiczne są obowiązane do zwalczania chorób epidemicznych i zapobiegania negatywnym dla zdrowia skutkom degradacji środowiska”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>
        <w:rPr>
          <w:rFonts w:eastAsia="Times New Roman"/>
          <w:b/>
          <w:bCs/>
        </w:rPr>
        <w:t>rownież</w:t>
      </w:r>
      <w:proofErr w:type="spellEnd"/>
      <w:r>
        <w:rPr>
          <w:rFonts w:eastAsia="Times New Roman"/>
          <w:b/>
          <w:bCs/>
        </w:rPr>
        <w:t xml:space="preserve"> Petentów odwiedzających Urząd.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Na rynku światowym funkcjonuje już wiele rodzajów urządzeń - do dezynfekcji wnętrz - w wielu krajach w tym w  USA, Szwajcarii lub Japonii a nawet w Chinach  - wyłapywanie i zabijanie patogenów (w szczególności wirusów, bakterii, toksycznych substancji chemicznych, </w:t>
      </w:r>
      <w:proofErr w:type="spellStart"/>
      <w:r>
        <w:rPr>
          <w:rFonts w:eastAsia="Times New Roman"/>
          <w:b/>
          <w:bCs/>
        </w:rPr>
        <w:t>etc</w:t>
      </w:r>
      <w:proofErr w:type="spellEnd"/>
      <w:r>
        <w:rPr>
          <w:rFonts w:eastAsia="Times New Roman"/>
          <w:b/>
          <w:bCs/>
        </w:rPr>
        <w:t>)  w zamkniętych przestrzeniach publicznych stało się normą.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Stosowanie urządzeń filtrujących powietrze - dzięki którym następuje redukcja liczby krążących cząsteczek wirusa grypy A, redukcja miano wirusa MS2 </w:t>
      </w:r>
      <w:proofErr w:type="spellStart"/>
      <w:r>
        <w:rPr>
          <w:rFonts w:eastAsia="Times New Roman"/>
          <w:b/>
          <w:bCs/>
        </w:rPr>
        <w:t>Bacteriophage</w:t>
      </w:r>
      <w:proofErr w:type="spellEnd"/>
      <w:r>
        <w:rPr>
          <w:rFonts w:eastAsia="Times New Roman"/>
          <w:b/>
          <w:bCs/>
        </w:rPr>
        <w:t xml:space="preserve"> - powodującego COVID-19, czy redukcja </w:t>
      </w:r>
      <w:proofErr w:type="spellStart"/>
      <w:r>
        <w:rPr>
          <w:rFonts w:eastAsia="Times New Roman"/>
          <w:b/>
          <w:bCs/>
        </w:rPr>
        <w:t>ditlenku</w:t>
      </w:r>
      <w:proofErr w:type="spellEnd"/>
      <w:r>
        <w:rPr>
          <w:rFonts w:eastAsia="Times New Roman"/>
          <w:b/>
          <w:bCs/>
        </w:rPr>
        <w:t xml:space="preserve"> azotu, </w:t>
      </w:r>
      <w:proofErr w:type="spellStart"/>
      <w:r>
        <w:rPr>
          <w:rFonts w:eastAsia="Times New Roman"/>
          <w:b/>
          <w:bCs/>
        </w:rPr>
        <w:t>etc</w:t>
      </w:r>
      <w:proofErr w:type="spellEnd"/>
      <w:r>
        <w:rPr>
          <w:rFonts w:eastAsia="Times New Roman"/>
          <w:b/>
          <w:bCs/>
        </w:rPr>
        <w:t xml:space="preserve"> - za pomocą  Technologii niskoenergetycznej plazmy - stały się powszechnym zwyczajem w Urzędach użyteczności publicznej.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 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Dlatego biorąc pod uwagę powyższe, oraz uzasadniony społecznie - interes 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bono, wnosimy: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Osnowa Wniosku: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§1) Na mocy art. 61 Konstytucji RP, w trybie art. 6 ust. 1 pkt. 1 lit c oraz art. 6 ust. 1 pkt. 2 lit. c Ustawy z dnia 6 września o dostępie do informacji publicznej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z 2020 r.) wnosimy o udzielnie informacji publicznej - czy Gmina/Miasto stosuje/stosowała w pomieszczeniach urządzenia, o których wzmiankuje Wnioskodawca w preambule niniejszego wniosku - scilicet - dezynfekcja pomieszczeń użytku publicznego, usuwanie wirusów,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2022 r. poz. 902.)  wnosimy o udzielnie informacji publicznej w przedmiocie - czy Gmina w ciągu ostatnich 2 lat dokonywała zakupu urządzeń do dekontaminacji pomieszczeń?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 - scilicet:  (Imię i nazwisko, adres do korespondencji e-mail, tel. i stanowisko służbowe Urzędnika)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II - Petycja Odrębna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§2) W trybie Ustawy o petycjach (Dz.U.2018.870 tj. z dnia 2018.05.10)  -  biorąc pod uwagę, iż dbałość o zdrowie i komfort Interesantów, Pracowników Urzędu, uczniów w szkołach publicznych,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-  należy z pewnością do wartości wymagających szczególnej ochrony w imię dobra wspólnego, mieszczących się w zakresie zadań i kompetencji adresata petycji - wnosimy o: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§2.2)   Ewentualnego zaplanowanie postępowania w trybie uproszczonym do 130 tys. </w:t>
      </w:r>
      <w:proofErr w:type="spellStart"/>
      <w:r>
        <w:rPr>
          <w:rFonts w:eastAsia="Times New Roman"/>
        </w:rPr>
        <w:t>pln</w:t>
      </w:r>
      <w:proofErr w:type="spellEnd"/>
      <w:r>
        <w:rPr>
          <w:rFonts w:eastAsia="Times New Roman"/>
        </w:rPr>
        <w:t xml:space="preserve">  lub w trybie Ustawy prawo zamówień publicznych, z uwzględnieniem zasad uczciwej konkurencji, którego przedmiotem będzie ewentualne zamówienie tego typu urządzeń - jeszcze przed zimową ewentualną - kolejną falą pandemii.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Zdaniem wnoszącego - niniejsze pismo należy go procedować dwutorowo w trybie ustawy o petycjach i ustawy o dostępie do inf. publicznej  - dla zmniejszenia marnotrawstwa papieru i ograniczenia procedur biurokratycznych wniosek i petycję przesyłamy en-</w:t>
      </w:r>
      <w:proofErr w:type="spellStart"/>
      <w:r>
        <w:rPr>
          <w:rFonts w:eastAsia="Times New Roman"/>
        </w:rPr>
        <w:t>bloc</w:t>
      </w:r>
      <w:proofErr w:type="spellEnd"/>
      <w:r>
        <w:rPr>
          <w:rFonts w:eastAsia="Times New Roman"/>
        </w:rPr>
        <w:t xml:space="preserve"> - w jednym piśmie. 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*Nie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256, 695)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Oczywiście ABY NASZA PETYCJA NIE BYŁA W ŻADNYM RAZIE ŁĄCZONA Z PÓŹNIEJSZYM ewentualnym trybem zamówienia  nie musimy dodawać, że jesteśmy przekonani, iż ewentualne jakiekolwiek - postępowanie będzie prowadzone z uwzględnieniem zasad uczciwej konkurencji - i o wyborze oferenta będą decydować jedynie  ustalone przez decydentów kryteria związane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z aktualnym stanem prawnym, bezpieczeństwem oraz racjonalnym wydatkowaniem środków publicznych. 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§2.3) Aby zachować pełną jawność i transparentność działań - jak zwykle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Komentarz dot. stanu faktycznego: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Jak wykazują odpowiedzi uzyskane na nasze uprzednie akcje w trybie ustawy o dostępie do informacji publicznej - w których  pytaliśmy o rożne aspekty funkcjonowania Gmin w ramach istniejącego otoczenia prawnego - de lege lata - i racjonalnego wydatkowania środków Podatników - pewna ilość Gmin /Miast - częstokroć nieracjonalnie wydatkuje publiczne pieniądze.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>Tymczasem inne Gminy/Miasta - szczególnie w Polsce południowo-wschodniej - wręcz wzorcowo dobrze - potrafiły optymalizować  koszty w obszarach, o które pytaliśmy i uzyskać spore oszczędności.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Takie skuteczne działania oszczędnościowe - mogły zostać i zostały podjęte przez Gminy w Polsce południowo-wschodniej - jak mniemamy z wielu powodów,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w związku z tym, że  w ciągu ostatnich 20 lat - wiele zmieniło się w obszarze badanych przez nas obszarów -  szczególnie w warunkach obecnej ostrej konkurencji w ramach obszaru usług związanych z wypełnianiem zadań własnych realizowanych przez gminy i określonych w art. 7 ustawy o samorządzie gminnym.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A pytamy już o rożne aspekty w okresie prawie 20 lat - zatem posiadamy poparty odpowiedziami ogląd stanu faktycznego - związany w wydatkowaniem środków publicznych w gminach i respektowaniem aktualnych wymogów prawa.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Nasze konkluzje  - powzięte w oparciu o uzyskiwane odpowiedzi - nie muszą być w pełni trafne, ale prawie w każdej akcji optymalizacyjnej prowadzonej w związku z art. 241 KPA -  okazuje  się, że Gminy z „wyśmiewanej” przez media „Polski B” - działając bona fides i skutecznie dbając o uzasadniony interes pro </w:t>
      </w:r>
      <w:proofErr w:type="spellStart"/>
      <w:r>
        <w:rPr>
          <w:rFonts w:eastAsia="Times New Roman"/>
          <w:b/>
          <w:bCs/>
        </w:rPr>
        <w:t>publico</w:t>
      </w:r>
      <w:proofErr w:type="spellEnd"/>
      <w:r>
        <w:rPr>
          <w:rFonts w:eastAsia="Times New Roman"/>
          <w:b/>
          <w:bCs/>
        </w:rPr>
        <w:t xml:space="preserve"> bono   - radzą sobie o wiele lepiej niż gminy z terenu „Polski zachodniej”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Biorąc pod uwagę powyższą analizę opartą na powyższej argumentacji - i uzyskiwane - na piśmie -  informacje publiczne korespondując z brzmieniem art. 3 ust. 1 pkt. 1 Ustawy o dostępie do informacji publicznej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2022 poz. 902) - zdaniem wnioskodawcy kompletacja odnośnych danych związanych z zadawanymi przez nas pytaniami - nie wymaga działań związanych z długotrwałym ich przetwarzaniem - dane te powinny być ad hoc dostępne w Urzędzie –   oraz  dane te  jak wykazano w oparciu o stan faktyczny -  wydają się SZCZEGÓLNIE ISTOTNE  z punktu widzenia uzasadnionego interesu społecznego -  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bono.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>Pomimo tego, nieliczne Gminy/Miasta  - szczególnie z terenów „Polski zachodniej” wolą mnożyć uniki i analizy prawne i wchodzić w spory prawne niż rzetelnie odpowiadać na wnioski, analizować odpowiedzi i  skupiać się na optymalizacji i sanacji kosztów publicznych - uznając dobroczynne działanie art. 241 KPA.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Zachęcamy aby pod tym względem wziąć wzór z gmin z terenu Polski południowo-wschodniej - wdrażać oszczędności  i pomagać mieszkańcom zamiast skupiać się na szukaniu i tworzeniu konstrukcji prawnych by unikać udostępniania informacji publicznej i tym samym - być może ukrywać niewygodne do Urzędników fakty.  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Aby zweryfikować ten stan faktyczny - wystarczy zapoznać się z publikowanymi w Internecie przez wnioskodawcę  lub przez Gminy (na stronach WWW i BIP) - odpowiedziami udzielonymi przez Gminy i uzyskanymi przez nas w innych akcjach wnioskowania.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Co ciekawe  - często przy podobnych warunkach umownych różnice w ponoszonych kosztach przez gminy są ogromne. A przecież de facto są to koszty ponoszone przez podatników. 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W naszym mniemaniu taki stan faktyczny w Gminach powinien skłaniać do refleksji i mobilizować do działania sanacyjnego nie tylko Decydentów ale każdego Obywatela, każdą osobę prawną, każdego biznesmena i kontrahenta urzędu, którym leży na sercu dobro naszego kraju i uzasadniony interes społeczny 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bono. 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 </w:t>
      </w:r>
      <w:hyperlink r:id="rId4" w:history="1">
        <w:r>
          <w:rPr>
            <w:rStyle w:val="Hipercze"/>
            <w:rFonts w:eastAsia="Times New Roman"/>
          </w:rPr>
          <w:t>dekonatminacja@samorzad.pl</w:t>
        </w:r>
      </w:hyperlink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§4) Wnosimy o to, aby odpowiedź w  przedmiocie powyższych pytań i petycji złożonych na mocy art. 63 Konstytucji RP - w związku z art.  241 KPA, została udzielona - zwrotnie na adres poczty elektronicznej:  </w:t>
      </w:r>
      <w:hyperlink r:id="rId5" w:history="1">
        <w:r>
          <w:rPr>
            <w:rStyle w:val="Hipercze"/>
            <w:rFonts w:eastAsia="Times New Roman"/>
          </w:rPr>
          <w:t>dekontaminacja@samorzad.pl</w:t>
        </w:r>
      </w:hyperlink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Zgodnie z uprawnieniem zawartym w KPA (odpowiedź w tożsamej formie do wniosku) wnosimy aby odpowiedź została udzielona w postaci elektronicznej.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Wnioskodawca/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>*: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Osoba Prawna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Szulc-Efekt sp. z o. o.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Prezes Zarządu - Adam Szulc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ul. Poligonowa 1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04-051 Warszawa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nr KRS: 0000059459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Kapitał Zakładowy: 222.000,00 </w:t>
      </w:r>
      <w:proofErr w:type="spellStart"/>
      <w:r>
        <w:rPr>
          <w:rFonts w:eastAsia="Times New Roman"/>
        </w:rPr>
        <w:t>pln</w:t>
      </w:r>
      <w:proofErr w:type="spellEnd"/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hyperlink r:id="rId6" w:history="1">
        <w:r>
          <w:rPr>
            <w:rStyle w:val="Hipercze"/>
            <w:rFonts w:eastAsia="Times New Roman"/>
          </w:rPr>
          <w:t>www.gmina.pl</w:t>
        </w:r>
      </w:hyperlink>
      <w:r>
        <w:rPr>
          <w:rFonts w:eastAsia="Times New Roman"/>
        </w:rPr>
        <w:t xml:space="preserve">    </w:t>
      </w:r>
      <w:hyperlink r:id="rId7" w:history="1">
        <w:r>
          <w:rPr>
            <w:rStyle w:val="Hipercze"/>
            <w:rFonts w:eastAsia="Times New Roman"/>
          </w:rPr>
          <w:t>www.samorzad.pl</w:t>
        </w:r>
      </w:hyperlink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Zwyczajowy komentarz do Wniosku: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Adresat jest jednoznacznie identyfikowany - na podstawie - unikalnego adresu e-mail opublikowanego w Biuletynie Informacji Publicznej Jednostki i przypisanego do odnośnego Organu.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Pomimo, iż w rzeczonym wniosku powołujemy się na art. 241 Ustawy z dnia 14 czerwca 1960 r. Kodeks postępowania administracyjnego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2021 r. poz. 735 , 2052)   -  w naszym mniemaniu - nie oznacza to, że Urząd powinien rozpatrywać niniejsze wnioski w trybie KPA  - należy w tym przypadku zawsze stosować art. 222 KPA.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Zatem - wg. Wnioskodawcy niniejszy wniosek może być jedynie fakultatywnie rozpatrywany - jako optymalizacyjny w związku z art. 241 KPA.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W naszych wnioskach/petycjach  często powołujemy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Zatem pomimo formy zewnętrznej - Decydenci mogą/powinni dokonać własnej interpretacji  - zgodnie z brzmieniem art. 222 KPA.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Nazwa Wnioskodawca/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 xml:space="preserve"> - jest dla uproszczenia stosowna jako synonim nazwy “Podmiot Wnoszący Petycję” - w rozumieniu art. 4 ust. 4 Ustawy o petycjach (Dz.U.2014.1195 z dnia 2014.09.05)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lastRenderedPageBreak/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  <w:b/>
          <w:bCs/>
        </w:rPr>
        <w:t>W Jednostkach Pionu Administracji Rządowej - stan faktyczny jest o wiele lepszy. 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Jeżeli JST nie zgada się z powołanymi przepisami prawa, prosimy aby zastosowano podstawy prawne akceptowane przez JST.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Pamiętajmy również o przepisach zawartych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>: w</w:t>
      </w:r>
      <w:r>
        <w:rPr>
          <w:rFonts w:eastAsia="Times New Roman"/>
          <w:b/>
          <w:bCs/>
        </w:rPr>
        <w:t xml:space="preserve"> 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>
        <w:rPr>
          <w:rFonts w:eastAsia="Times New Roman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>
        <w:rPr>
          <w:rFonts w:eastAsia="Times New Roman"/>
        </w:rPr>
        <w:t>petycjodawcę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Adresatem Petycji - jest Organ ujawniony w komparycji.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Kierownik Jednostki Samorządu Terytorialnego (dalej JST)  - w rozumieniu art. 33 ust. 3 Ustawy o samorządzie gminnym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z parametrami ofert oraz ceną. </w:t>
      </w:r>
    </w:p>
    <w:p w:rsidR="00213083" w:rsidRDefault="00213083" w:rsidP="00213083">
      <w:pPr>
        <w:rPr>
          <w:rFonts w:eastAsia="Times New Roman"/>
        </w:rPr>
      </w:pP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213083" w:rsidRDefault="00213083" w:rsidP="00213083">
      <w:pPr>
        <w:rPr>
          <w:rFonts w:eastAsia="Times New Roman"/>
        </w:rPr>
      </w:pPr>
      <w:r>
        <w:rPr>
          <w:rFonts w:eastAsia="Times New Roman"/>
        </w:rPr>
        <w:t>* - niepotrzebne - pominąć </w:t>
      </w:r>
    </w:p>
    <w:p w:rsidR="00213083" w:rsidRDefault="00213083" w:rsidP="00213083">
      <w:pPr>
        <w:rPr>
          <w:rFonts w:eastAsia="Times New Roman"/>
        </w:rPr>
      </w:pPr>
    </w:p>
    <w:p w:rsidR="00511D84" w:rsidRDefault="00511D84">
      <w:bookmarkStart w:id="0" w:name="_GoBack"/>
      <w:bookmarkEnd w:id="0"/>
    </w:p>
    <w:sectPr w:rsidR="0051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3"/>
    <w:rsid w:val="00213083"/>
    <w:rsid w:val="005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FB93-BB42-4B8D-BA7D-087613F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orza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5" Type="http://schemas.openxmlformats.org/officeDocument/2006/relationships/hyperlink" Target="mailto:dekontaminacja@samorzad.pl" TargetMode="External"/><Relationship Id="rId4" Type="http://schemas.openxmlformats.org/officeDocument/2006/relationships/hyperlink" Target="mailto:dekonatminacja@samorza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2997</Words>
  <Characters>17986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2022-10-25T05:42:00Z</dcterms:created>
  <dcterms:modified xsi:type="dcterms:W3CDTF">2022-10-25T05:43:00Z</dcterms:modified>
</cp:coreProperties>
</file>