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ECA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- w rozumieniu art. 33 ust. 3 Ustawy z dnia 8 marca 1990 r. o samorządzie gminnym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1526.) </w:t>
      </w:r>
    </w:p>
    <w:p w14:paraId="0CFE6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17B25C1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2019 r. poz. 162, 1590)  oraz przepisów art. 4 ust. 5 Ustawy o petycjach ( tj. Dz.U. 2018 poz. 870)  </w:t>
      </w:r>
    </w:p>
    <w:p w14:paraId="308298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Data dostarczenia  zgodna z dyspozycją art. 61 pkt. 2 Ustawy Kodeks Cywilny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2020 r. poz. 1740) </w:t>
      </w:r>
    </w:p>
    <w:p w14:paraId="1D22F85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9D23E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64762A2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3C1BF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2020 r. poz. 256, 695) </w:t>
      </w:r>
    </w:p>
    <w:p w14:paraId="3108DD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C2514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Preambuła Wniosku/Petycji*:</w:t>
      </w:r>
    </w:p>
    <w:p w14:paraId="75838BB6" w14:textId="2AEEFD04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Zdaniem Wnioskodawcy - w uzasadnionym interesie społecznym - pro </w:t>
      </w:r>
      <w:proofErr w:type="spellStart"/>
      <w:r w:rsidRPr="005E0AAE">
        <w:rPr>
          <w:rFonts w:ascii="Arial" w:hAnsi="Arial" w:cs="Arial"/>
          <w:sz w:val="16"/>
          <w:szCs w:val="16"/>
        </w:rPr>
        <w:t>publico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bono - jest ciągle podtrzymywanie aktywności społecznej  wywołanej minionymi wyborami parlamentarnymi. Szczególnie istotne wydaje się to - w stosunku do młodych osób, kt</w:t>
      </w:r>
      <w:r>
        <w:rPr>
          <w:rFonts w:ascii="Arial" w:hAnsi="Arial" w:cs="Arial"/>
          <w:sz w:val="16"/>
          <w:szCs w:val="16"/>
        </w:rPr>
        <w:t>ó</w:t>
      </w:r>
      <w:r w:rsidRPr="005E0AAE">
        <w:rPr>
          <w:rFonts w:ascii="Arial" w:hAnsi="Arial" w:cs="Arial"/>
          <w:sz w:val="16"/>
          <w:szCs w:val="16"/>
        </w:rPr>
        <w:t>rzy z takim zaangażowaniem uczestniczyli w ostatnich wyborach. </w:t>
      </w:r>
    </w:p>
    <w:p w14:paraId="5293BA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Szczególny obowiązek w tym względzie - zdaniem wnioskodawcy - ciąży na Decydentach w Jednostkach Samorządu Terytorialnego. </w:t>
      </w:r>
    </w:p>
    <w:p w14:paraId="08539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Skuteczne działanie w tym względzie wymaga wiedzy z obszaru socjologii i związanej z samym procesem wyborczym w związku z  uwarunkowaniami w obszarze promocji, otoczenia prawnego, kształtowania świadomości wyborców oraz pozytywnych postaw społecznych. </w:t>
      </w:r>
    </w:p>
    <w:p w14:paraId="0B2D8EC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Tymczasem jak wykazują odpowiedzi na nasze uprzednie zapytania składane w trybie ustawy o dostępie do informacji publicznej w ciągu ostatnich 20 lat -  tematyka związana ze stałym podnoszeniem kwalifikacji w Gminach/Miastach - jest często traktowana jako coś mało istotnego, etc. </w:t>
      </w:r>
    </w:p>
    <w:p w14:paraId="6DCAD7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9BD5B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Ustawodawca natomiast - zwraca szczególną uwagę Kierowników Jednostek na ten obszar wypełniania zadań publicznych - expressis verbis sygnalizując w art. 24 ust. 2 pkt. 7 i art. 29 Ustawy  z dnia 21 listopada 2008 r. o pracownikach samorządowych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(Dz. U. z 2022 r. poz. 530) ”    - szereg obowiązków w tym względzie: </w:t>
      </w:r>
    </w:p>
    <w:p w14:paraId="107C63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 </w:t>
      </w:r>
    </w:p>
    <w:p w14:paraId="0EF095E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art. 24  wzmiankowanej ustawy: „(…) </w:t>
      </w:r>
      <w:r w:rsidRPr="005E0AAE">
        <w:rPr>
          <w:rFonts w:ascii="Arial" w:hAnsi="Arial" w:cs="Arial"/>
          <w:b/>
          <w:bCs/>
          <w:sz w:val="16"/>
          <w:szCs w:val="16"/>
        </w:rPr>
        <w:t>Do obowiązków pracownika samorządowego należy w szczególności (…) stałe podnoszenie umiejętności i kwalifikacji zawodowych (…)” </w:t>
      </w:r>
    </w:p>
    <w:p w14:paraId="3EB4ABB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Art. 29 przedmiotowej ustawy - scilicet: "(…)  1. Pracownicy samorządowi uczestniczą w różnych formach podnoszenia wiedzy i kwalifikacji zawodowych.</w:t>
      </w:r>
    </w:p>
    <w:p w14:paraId="342D818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2. W planach finansowych jednostek, o których mowa w art. 2, przewiduje się środki finansowe na podnoszenie wiedzy i kwalifikacji zawodowych. (…)” </w:t>
      </w:r>
    </w:p>
    <w:p w14:paraId="50CEC1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F28F8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Nasze analizy -   potwierdzają się  w tezach stawianych  przez Najwyższą Izbę Kontroli - a jak  kształtuje się w empirii wypełnianie zadań w tym obszarze - można wnioskować np. z protokołów pokontrolnych NIK (dostępne na stronach </w:t>
      </w:r>
      <w:hyperlink r:id="rId4" w:history="1">
        <w:r w:rsidRPr="005E0AAE">
          <w:rPr>
            <w:rStyle w:val="Hipercze"/>
            <w:rFonts w:ascii="Arial" w:hAnsi="Arial" w:cs="Arial"/>
            <w:sz w:val="16"/>
            <w:szCs w:val="16"/>
          </w:rPr>
          <w:t>nik.gov.pl</w:t>
        </w:r>
      </w:hyperlink>
      <w:r w:rsidRPr="005E0AAE">
        <w:rPr>
          <w:rFonts w:ascii="Arial" w:hAnsi="Arial" w:cs="Arial"/>
          <w:sz w:val="16"/>
          <w:szCs w:val="16"/>
        </w:rPr>
        <w:t>) - ad exemplum: LZG – 4101-016-01/2014 P/14/037 gdzie przeczytać można m.in : </w:t>
      </w:r>
    </w:p>
    <w:p w14:paraId="4279974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„(…) Mimo obowiązku zawartego w zarządzeniu Burmistrza nie sporządzono na lata (…) pisemnych planów szkoleń wewnętrznych. Sekretarz Gminy oświadczył, że wynikło to z przeoczenia spowodowanego nawałem obowiązków. Jednocześnie poinformował, że plan szkoleń na (…)  zostanie sporządzony w styczniu (…) „   </w:t>
      </w:r>
      <w:r w:rsidRPr="005E0AAE">
        <w:rPr>
          <w:rFonts w:ascii="Arial" w:hAnsi="Arial" w:cs="Arial"/>
          <w:sz w:val="16"/>
          <w:szCs w:val="16"/>
        </w:rPr>
        <w:t>     (ten i inne protokoły pokontrolne w ramach podobnego schematu wniosków kontrolnych  - z tego obszaru:  - vide - strony WWW </w:t>
      </w:r>
      <w:hyperlink r:id="rId5" w:history="1">
        <w:r w:rsidRPr="005E0AAE">
          <w:rPr>
            <w:rStyle w:val="Hipercze"/>
            <w:rFonts w:ascii="Arial" w:hAnsi="Arial" w:cs="Arial"/>
            <w:sz w:val="16"/>
            <w:szCs w:val="16"/>
          </w:rPr>
          <w:t>www.nik.gov.pl</w:t>
        </w:r>
      </w:hyperlink>
      <w:r w:rsidRPr="005E0AAE">
        <w:rPr>
          <w:rFonts w:ascii="Arial" w:hAnsi="Arial" w:cs="Arial"/>
          <w:sz w:val="16"/>
          <w:szCs w:val="16"/>
        </w:rPr>
        <w:t> 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)  </w:t>
      </w:r>
    </w:p>
    <w:p w14:paraId="4DAE033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7BF4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- Jak wynika z odpowiedzi na nasze pytania w przedmiocie dostępu do informacji publicznej - praktykę taką stosowało w ciągu ostatnich 10 lat - gros gmin/miast,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 </w:t>
      </w:r>
    </w:p>
    <w:p w14:paraId="7088971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319E4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5E743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Dlatego biorąc pod uwagę powyższe, oraz uzasadniony społecznie - interes pro </w:t>
      </w:r>
      <w:proofErr w:type="spellStart"/>
      <w:r w:rsidRPr="005E0AAE">
        <w:rPr>
          <w:rFonts w:ascii="Arial" w:hAnsi="Arial" w:cs="Arial"/>
          <w:sz w:val="16"/>
          <w:szCs w:val="16"/>
        </w:rPr>
        <w:t>publico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bono, wnosimy: </w:t>
      </w:r>
    </w:p>
    <w:p w14:paraId="699DF4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BC5D9A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Osnowa Wniosku: </w:t>
      </w:r>
    </w:p>
    <w:p w14:paraId="203BD2C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212FB5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§1) Na mocy art. 61 Konstytucji RP, w trybie art. 6 ust. 1 pkt. 1 lit c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. Dz. U. z 2022 r. poz. 902 - dalej czasem pod akronimem: </w:t>
      </w:r>
      <w:proofErr w:type="spellStart"/>
      <w:r w:rsidRPr="005E0AAE">
        <w:rPr>
          <w:rFonts w:ascii="Arial" w:hAnsi="Arial" w:cs="Arial"/>
          <w:sz w:val="16"/>
          <w:szCs w:val="16"/>
        </w:rPr>
        <w:t>uoddip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) - wnosimy o udzielnie informacji publicznej - jaką kwotę - en </w:t>
      </w:r>
      <w:proofErr w:type="spellStart"/>
      <w:r w:rsidRPr="005E0AAE">
        <w:rPr>
          <w:rFonts w:ascii="Arial" w:hAnsi="Arial" w:cs="Arial"/>
          <w:sz w:val="16"/>
          <w:szCs w:val="16"/>
        </w:rPr>
        <w:t>bloc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 zgodnie z art. 29 Ustawy  z dnia 21 listopada 2008 r. o pracownikach samorządowych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(Dz. U. z 2022 r. poz. 530) - Kierownik Jednostki - zabezpieczył w 2023 r. w związku  z podnoszeniem wiedzy i kwalifikacji zawodowych Urzędników.  Wnioskodawca ma na myśli całość budżetu w tym zakresie. </w:t>
      </w:r>
    </w:p>
    <w:p w14:paraId="1D40C53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§1.1)  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902) -  wnosimy o udzielenie informacji publicznej w przedmiocie - Czy jest już wstępnie oszacowany rząd kwoty - per analogiam na 2024 r. - jeśli tak - Wnioskodawca wnosi o kwantyfikację tego wstępnego szacunku na 2024 r. ?  </w:t>
      </w:r>
    </w:p>
    <w:p w14:paraId="58D9D66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803BD1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27AA6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Dla ułatwienia Wnioskodawca przywołuje kontent </w:t>
      </w:r>
      <w:r w:rsidRPr="005E0AAE">
        <w:rPr>
          <w:rFonts w:ascii="Arial" w:hAnsi="Arial" w:cs="Arial"/>
          <w:b/>
          <w:bCs/>
          <w:sz w:val="16"/>
          <w:szCs w:val="16"/>
        </w:rPr>
        <w:t>wzmiankowanej Ustawy:</w:t>
      </w:r>
      <w:r w:rsidRPr="005E0AAE">
        <w:rPr>
          <w:rFonts w:ascii="Arial" w:hAnsi="Arial" w:cs="Arial"/>
          <w:sz w:val="16"/>
          <w:szCs w:val="16"/>
        </w:rPr>
        <w:t> </w:t>
      </w:r>
    </w:p>
    <w:p w14:paraId="365CDE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"Art. 29. 1. Pracownicy samorządowi uczestniczą w różnych formach podnoszenia wiedzy i kwalifikacji zawodowych.</w:t>
      </w:r>
    </w:p>
    <w:p w14:paraId="23CA4C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2. W planach finansowych jednostek, o których mowa w art. 2, przewiduje się </w:t>
      </w:r>
    </w:p>
    <w:p w14:paraId="22D2AD2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środki finansowe na podnoszenie wiedzy i kwalifikacji zawodowych”. </w:t>
      </w:r>
    </w:p>
    <w:p w14:paraId="0748EB5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10F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8DB6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59CE28C" w14:textId="0AA1D67D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902) - wnosimy o udzielnie informacji publicznej - czy przewidziano w rzeczonym budżecie środki na cele dotyczące </w:t>
      </w:r>
      <w:r w:rsidRPr="005E0AAE">
        <w:rPr>
          <w:rFonts w:ascii="Arial" w:hAnsi="Arial" w:cs="Arial"/>
          <w:b/>
          <w:bCs/>
          <w:sz w:val="16"/>
          <w:szCs w:val="16"/>
        </w:rPr>
        <w:t>szkoleń Urzędników w związku ze zbliżającymi się wyborami samorządowymi</w:t>
      </w:r>
      <w:r>
        <w:rPr>
          <w:rFonts w:ascii="Arial" w:hAnsi="Arial" w:cs="Arial"/>
          <w:b/>
          <w:bCs/>
          <w:sz w:val="16"/>
          <w:szCs w:val="16"/>
        </w:rPr>
        <w:t xml:space="preserve">? </w:t>
      </w:r>
    </w:p>
    <w:p w14:paraId="0EABD2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Nasze pytanie ściśle koresponduje z powyżej przedstawioną  -  preambułą naszego wniosku. </w:t>
      </w:r>
    </w:p>
    <w:p w14:paraId="70A42C3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541B24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E0AAE">
        <w:rPr>
          <w:rFonts w:ascii="Arial" w:hAnsi="Arial" w:cs="Arial"/>
          <w:sz w:val="16"/>
          <w:szCs w:val="16"/>
        </w:rPr>
        <w:t>Notabebe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Wnioskodawcę interesuje - jak wiedza posiadana przez Urzędników może przełożyć się na jak najskuteczniejszy przekaz skierowany przede wszystkim  do zaangażowania Młodych Wyborców. </w:t>
      </w:r>
    </w:p>
    <w:p w14:paraId="2461BF7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Uświadomienie im, że wybory samorządowe są nie mniej ważne od parlamentarnych wymaga sporej wiedzy i skuteczności - jaką wykazali się - opiniotwórczy kandydaci w niedawnych wyborach parlamentarnych. </w:t>
      </w:r>
    </w:p>
    <w:p w14:paraId="54F9FD8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Oczywiście wszystko należy planować przy uwzględnieniu lokalnej specyfiki z góry zakładając realnie, że frekwencja i zaangażowanie w tym przypadku będzie - zdaniem wnioskodawcy -  mniejsze (oby niewiele mniejsze),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157F4B8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F824C9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§3)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 - scilicet:  (Imię i nazwisko, adres do korespondencji e-mail, tel. i stanowisko służbowe Urzędnika) </w:t>
      </w:r>
    </w:p>
    <w:p w14:paraId="54C0498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FD21E6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AE63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31F1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D1CE3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II - Petycja Odrębna </w:t>
      </w:r>
    </w:p>
    <w:p w14:paraId="58566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7B0DA81E" w14:textId="3C3DD30B" w:rsid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W trybie Ustawy o petycjach (Dz.U.2018.870 tj. z dnia 2018.05.10)  -  biorąc pod uwagę, iż dbałość o zaangażowanie obywatelskie - w wybory samorządowe  -  należy z pewnością do wartości wymagających szczególnej ochrony w imię dobra wspólnego, mieszczących się w zakresie zadań i kompetencji adresata petycji - wnosimy o:</w:t>
      </w:r>
    </w:p>
    <w:p w14:paraId="65BB1CB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5F7923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§2.1) Wykonanie rekonesansu w obszarze związanym z potrzebą zaangażowania - za pomocą dostępnych technik związanych z kształtowaniem świadomości - Młodych Wyborców w proces zbliżających się wyborów samorządowych tak aby rozbudzone wyborami parlamentarnymi zaangażowanie społeczne - podtrzymać w jak największym stopniu . </w:t>
      </w:r>
    </w:p>
    <w:p w14:paraId="15B02F0E" w14:textId="142CEAF6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Punktem odniesienia mogą być rewelacyjn</w:t>
      </w:r>
      <w:r>
        <w:rPr>
          <w:rFonts w:ascii="Arial" w:hAnsi="Arial" w:cs="Arial"/>
          <w:sz w:val="16"/>
          <w:szCs w:val="16"/>
        </w:rPr>
        <w:t>e</w:t>
      </w:r>
      <w:r w:rsidRPr="005E0AAE">
        <w:rPr>
          <w:rFonts w:ascii="Arial" w:hAnsi="Arial" w:cs="Arial"/>
          <w:sz w:val="16"/>
          <w:szCs w:val="16"/>
        </w:rPr>
        <w:t xml:space="preserve"> wyniki wyborów parlamentarnych - tak szeroko omawiane w mediach i wszelkie metody lege artis - możliwe do zastosowania przez Urzędników i związane z kształtowaniem lokalnej świadomości społecznej. </w:t>
      </w:r>
    </w:p>
    <w:p w14:paraId="2309E9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E61F7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F4DE3BE" w14:textId="15C36AAB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Plan takiego szkolenia i działań oraz kwantyfikacje finansowe -  z uwzględnieniem zasad uczciwej konkurencji można odszukać w szerokiej ofercie szkoleń dostępnych na rynku</w:t>
      </w:r>
      <w:r>
        <w:rPr>
          <w:rFonts w:ascii="Arial" w:hAnsi="Arial" w:cs="Arial"/>
          <w:sz w:val="16"/>
          <w:szCs w:val="16"/>
        </w:rPr>
        <w:t xml:space="preserve"> w sieci Internet, </w:t>
      </w:r>
      <w:proofErr w:type="spellStart"/>
      <w:r>
        <w:rPr>
          <w:rFonts w:ascii="Arial" w:hAnsi="Arial" w:cs="Arial"/>
          <w:sz w:val="16"/>
          <w:szCs w:val="16"/>
        </w:rPr>
        <w:t>etc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5E0AAE">
        <w:rPr>
          <w:rFonts w:ascii="Arial" w:hAnsi="Arial" w:cs="Arial"/>
          <w:sz w:val="16"/>
          <w:szCs w:val="16"/>
        </w:rPr>
        <w:t>. </w:t>
      </w:r>
    </w:p>
    <w:p w14:paraId="0A26A5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1401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78332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§2.2)   Zaplanowanie wdrożeń, szkoleń i audytów w tym zakresie.  </w:t>
      </w:r>
    </w:p>
    <w:p w14:paraId="5F3FD88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F62A3E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636041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Spośród ciekawych propozycji w tym względzie wydają się konferencje i szkolenia wyjazdowe -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 </w:t>
      </w:r>
    </w:p>
    <w:p w14:paraId="114700C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11-12 stycznia Krynica Zdrój, Pijalnia Głowna - Konferencja i warsztaty dla Samorządów, przygotowujące do wyborów, więcej: </w:t>
      </w:r>
      <w:hyperlink r:id="rId6" w:history="1">
        <w:r w:rsidRPr="005E0AAE">
          <w:rPr>
            <w:rStyle w:val="Hipercze"/>
            <w:rFonts w:ascii="Arial" w:hAnsi="Arial" w:cs="Arial"/>
            <w:sz w:val="16"/>
            <w:szCs w:val="16"/>
          </w:rPr>
          <w:t>https://</w:t>
        </w:r>
        <w:r w:rsidRPr="005E0AAE">
          <w:rPr>
            <w:rStyle w:val="Hipercze"/>
            <w:rFonts w:ascii="Arial" w:hAnsi="Arial" w:cs="Arial"/>
            <w:sz w:val="16"/>
            <w:szCs w:val="16"/>
          </w:rPr>
          <w:t>t</w:t>
        </w:r>
        <w:r w:rsidRPr="005E0AAE">
          <w:rPr>
            <w:rStyle w:val="Hipercze"/>
            <w:rFonts w:ascii="Arial" w:hAnsi="Arial" w:cs="Arial"/>
            <w:sz w:val="16"/>
            <w:szCs w:val="16"/>
          </w:rPr>
          <w:t>ytany.pl/assets/dmfk012024.pdf?fbclid=IwAR09nRtpHYxCU-ajIojgmjzrpyLA89YnXuBQBWzD42WwFxBTIHjakdKQ9iM</w:t>
        </w:r>
      </w:hyperlink>
    </w:p>
    <w:p w14:paraId="6BF4BA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gdzie jak piszą Organizatorzy: </w:t>
      </w:r>
    </w:p>
    <w:p w14:paraId="269A87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„(…) Burmistrz Miasta Krynica-Zdrój oraz organizator – Gama International; z udziałem Posłów do Parlamentu Krajowego i Europejskiego, Wojewody Małopolskiego, Wojewody Mazowieckiego oraz Starostów i Radnych szczebla wojewódzkiego; mają zaszczyt zaprosić Państwa na kolejną edycję renomowanego wydarzenia Digital Media Forum 2024r., które odbędzie się w dniach 11-12 stycznia 2024r. w Krynicy-Zdrój (…)” </w:t>
      </w:r>
    </w:p>
    <w:p w14:paraId="114C96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36D9B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Oczywiście ABY NASZA PETYCJA NIE BYŁA W ŻADNYM RAZIE ŁĄCZONA Z PÓŹNIEJSZYM trybem zamówienia  nie musimy dodawać, że jesteśmy przekonani, iż ewentualne postępowanie </w:t>
      </w:r>
      <w:proofErr w:type="spellStart"/>
      <w:r w:rsidRPr="005E0AAE">
        <w:rPr>
          <w:rFonts w:ascii="Arial" w:hAnsi="Arial" w:cs="Arial"/>
          <w:sz w:val="16"/>
          <w:szCs w:val="16"/>
        </w:rPr>
        <w:t>dot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wyłonienia Usługodawców będących beneficjentem - ewentualnego podnoszenia kwalifikacji urzędników -  </w:t>
      </w:r>
      <w:r w:rsidRPr="005E0AAE">
        <w:rPr>
          <w:rFonts w:ascii="Arial" w:hAnsi="Arial" w:cs="Arial"/>
          <w:b/>
          <w:bCs/>
          <w:sz w:val="16"/>
          <w:szCs w:val="16"/>
        </w:rPr>
        <w:t xml:space="preserve">będzie prowadzone z uwzględnieniem zasad uczciwej konkurencji - i o wyborze oferenta będą decydować jedynie  ustalone przez decydentów kryteria związane </w:t>
      </w:r>
      <w:proofErr w:type="spellStart"/>
      <w:r w:rsidRPr="005E0AAE">
        <w:rPr>
          <w:rFonts w:ascii="Arial" w:hAnsi="Arial" w:cs="Arial"/>
          <w:b/>
          <w:bCs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b/>
          <w:bCs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b/>
          <w:bCs/>
          <w:sz w:val="16"/>
          <w:szCs w:val="16"/>
        </w:rPr>
        <w:t xml:space="preserve"> z aktualnym stanem prawnym, bezpieczeństwem oraz racjonalnym wydatkowaniem środków publicznych.   </w:t>
      </w:r>
    </w:p>
    <w:p w14:paraId="4D4BD9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 </w:t>
      </w:r>
    </w:p>
    <w:p w14:paraId="71DDA2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EAF84F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E8D56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F3BFA4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AFDAC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7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 </w:t>
      </w:r>
    </w:p>
    <w:p w14:paraId="10D12B2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§4) Wnosimy o to, aby odpowiedź w  przedmiocie powyższych pytań i petycji złożonych na mocy art. 63 Konstytucji RP - w związku z art.  241 KPA, została udzielona - zwrotnie na adres </w:t>
      </w:r>
      <w:hyperlink r:id="rId8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</w:t>
      </w:r>
    </w:p>
    <w:p w14:paraId="4371957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780D53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7FB1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1C9BA0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Wnioskodawca: </w:t>
      </w:r>
    </w:p>
    <w:p w14:paraId="42F30E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Osoba Prawna</w:t>
      </w:r>
    </w:p>
    <w:p w14:paraId="017EB63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Szulc-Efekt sp. z o. o.</w:t>
      </w:r>
    </w:p>
    <w:p w14:paraId="7521EE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Prezes Zarządu - Adam Szulc </w:t>
      </w:r>
    </w:p>
    <w:p w14:paraId="31D3ABA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ul. Poligonowa 1</w:t>
      </w:r>
    </w:p>
    <w:p w14:paraId="206D28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04-051 Warszawa</w:t>
      </w:r>
    </w:p>
    <w:p w14:paraId="16AEA9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nr KRS: 0000059459</w:t>
      </w:r>
    </w:p>
    <w:p w14:paraId="45AB28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 xml:space="preserve">Kapitał Zakładowy: 222.000,00 </w:t>
      </w:r>
      <w:proofErr w:type="spellStart"/>
      <w:r w:rsidRPr="005E0AAE">
        <w:rPr>
          <w:rFonts w:ascii="Arial" w:hAnsi="Arial" w:cs="Arial"/>
          <w:sz w:val="16"/>
          <w:szCs w:val="16"/>
        </w:rPr>
        <w:t>pln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523C37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www.gmina.pl    </w:t>
      </w:r>
    </w:p>
    <w:p w14:paraId="6B27DE9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392257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Dodatkowe informacje:</w:t>
      </w:r>
    </w:p>
    <w:p w14:paraId="48B3EFF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Stosownie do art. 4 ust. 2 pkt. 1 Ustawy o petycjach (Dz.U.2018.870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z dnia 2018.05.10) -  osobą reprezentująca Podmiot wnoszący petycję - jest Prezes Zarządu Adam Szulc</w:t>
      </w:r>
    </w:p>
    <w:p w14:paraId="3A09B7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Stosownie do art. 4 ust. 2 pkt. 5 ww. Ustawy - petycja niniejsza została złożona za pomocą środków komunikacji elektronicznej - a wskazanym zwrotnym adresem poczty elektronicznej jw. </w:t>
      </w:r>
    </w:p>
    <w:p w14:paraId="21CA571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 - jednoznacznie identyfikowalny  za pomocą uzyskanego z Biuletynu Informacji Publicznej Urzędu - adresu e-mail !</w:t>
      </w:r>
    </w:p>
    <w:p w14:paraId="6A7B33A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F0B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813EB1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Zwyczajowy komentarz do Wniosku:</w:t>
      </w:r>
    </w:p>
    <w:p w14:paraId="3F2F29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 jest jednoznacznie identyfikowany - na podstawie - unikalnego adresu e-mail opublikowanego w Biuletynie Informacji Publicznej Jednostki i przypisanego do odnośnego Organu.</w:t>
      </w:r>
    </w:p>
    <w:p w14:paraId="0F6174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8BB82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Pomimo, iż w rzeczonym wniosku powołujemy się na art. 241 Ustawy z dnia 14 czerwca 1960 r. Kodeks postępowania administracyjnego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C88C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6BC1E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- wg. Wnioskodawcy niniejszy wniosek może być jedynie fakultatywnie rozpatrywany - jako optymalizacyjny w związku z art. 241 KPA. </w:t>
      </w:r>
    </w:p>
    <w:p w14:paraId="59F497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W naszych wnioskach/petycjach  często powołujemy </w:t>
      </w:r>
      <w:proofErr w:type="spellStart"/>
      <w:r w:rsidRPr="005E0AAE">
        <w:rPr>
          <w:rFonts w:ascii="Arial" w:hAnsi="Arial" w:cs="Arial"/>
          <w:sz w:val="16"/>
          <w:szCs w:val="16"/>
        </w:rPr>
        <w:t>sie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75C25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50489A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pomimo formy zewnętrznej - Decydenci mogą/powinni dokonać własnej interpretacji  pisma - zgodnie z brzmieniem art. 222 KPA. </w:t>
      </w:r>
    </w:p>
    <w:p w14:paraId="5A20BF6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55BAB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Nazwa Wnioskodawca/</w:t>
      </w:r>
      <w:proofErr w:type="spellStart"/>
      <w:r w:rsidRPr="005E0AAE">
        <w:rPr>
          <w:rFonts w:ascii="Arial" w:hAnsi="Arial" w:cs="Arial"/>
          <w:sz w:val="16"/>
          <w:szCs w:val="16"/>
        </w:rPr>
        <w:t>Petycjodawca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jest dla uproszczenia stosowna jako synonim nazwy “Podmiot Wnoszący Petycję” - w rozumieniu art. 4 ust. 4 Ustawy o petycjach (Dz.U.2014.1195 z dnia 2014.09.05) </w:t>
      </w:r>
    </w:p>
    <w:p w14:paraId="18BE3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D2E8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2C25A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1AD08A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32B7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BA783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6A2F5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49FE5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Zdaniem Wnioskodawcy - w Jednostkach Pionu Administracji Rządowej - stan faktyczny jest o wiele lepszy.  </w:t>
      </w:r>
    </w:p>
    <w:p w14:paraId="7532D5B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A3E36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FACB01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EEC6FF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F9062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Jeżeli JST nie zgada się z powołanymi przepisami prawa, prosimy aby zastosowano podstawy prawne akceptowane przez JST.</w:t>
      </w:r>
    </w:p>
    <w:p w14:paraId="111E8C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C03F4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CEE5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Pamiętajmy również o przepisach zawartych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0246FF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8CA33D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5E0AAE">
        <w:rPr>
          <w:rFonts w:ascii="Arial" w:hAnsi="Arial" w:cs="Arial"/>
          <w:sz w:val="16"/>
          <w:szCs w:val="16"/>
        </w:rPr>
        <w:t>petycjodawcę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00344D6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892D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696CDE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komparycji.</w:t>
      </w:r>
    </w:p>
    <w:p w14:paraId="5265BB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 - w rozumieniu art. 33 ust. 3 Ustawy o samorządzie gminnym</w:t>
      </w:r>
    </w:p>
    <w:p w14:paraId="23D3703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854D0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E96F0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z parametrami ofert oraz ceną. </w:t>
      </w:r>
    </w:p>
    <w:p w14:paraId="2354EC5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BFC46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830896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915235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 - niepotrzebne - pominąć </w:t>
      </w:r>
    </w:p>
    <w:p w14:paraId="1F8E5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sectPr w:rsidR="005E0AAE" w:rsidRPr="005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5E0AAE"/>
    <w:rsid w:val="00A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4C953"/>
  <w15:chartTrackingRefBased/>
  <w15:docId w15:val="{DC18A73F-9846-6C45-BCD5-F4D91BD1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A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oszenie-kwalifikacji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noszenie-kwalifikacji@samorza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tany.pl/assets/dmfk012024.pdf?fbclid=IwAR09nRtpHYxCU-ajIojgmjzrpyLA89YnXuBQBWzD42WwFxBTIHjakdKQ9iM" TargetMode="External"/><Relationship Id="rId5" Type="http://schemas.openxmlformats.org/officeDocument/2006/relationships/hyperlink" Target="http://www.nik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2024-01-03T13:47:00Z</dcterms:created>
  <dcterms:modified xsi:type="dcterms:W3CDTF">2024-01-03T14:38:00Z</dcterms:modified>
</cp:coreProperties>
</file>